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BB6E7" w14:textId="77777777" w:rsidR="009771B0" w:rsidRPr="00A30DF2" w:rsidRDefault="00050096">
      <w:pPr>
        <w:rPr>
          <w:rFonts w:ascii="NTFPreCursivefk" w:hAnsi="NTFPreCursivefk"/>
          <w:sz w:val="32"/>
          <w:u w:val="single"/>
        </w:rPr>
      </w:pPr>
      <w:r w:rsidRPr="00A30DF2">
        <w:rPr>
          <w:rFonts w:ascii="NTFPreCursivefk" w:hAnsi="NTFPreCursivefk"/>
          <w:sz w:val="32"/>
          <w:u w:val="single"/>
        </w:rPr>
        <w:t>Chronology Progression:</w:t>
      </w:r>
      <w:bookmarkStart w:id="0" w:name="_GoBack"/>
      <w:bookmarkEnd w:id="0"/>
    </w:p>
    <w:p w14:paraId="6B948E09" w14:textId="77777777" w:rsidR="00050096" w:rsidRPr="00A30DF2" w:rsidRDefault="00050096">
      <w:pPr>
        <w:rPr>
          <w:rFonts w:ascii="NTFPreCursivefk" w:hAnsi="NTFPreCursivefk"/>
          <w:sz w:val="32"/>
          <w:u w:val="single"/>
        </w:rPr>
      </w:pPr>
      <w:r w:rsidRPr="00A30DF2">
        <w:rPr>
          <w:rFonts w:ascii="NTFPreCursivefk" w:hAnsi="NTFPreCursivefk"/>
          <w:sz w:val="32"/>
          <w:u w:val="single"/>
        </w:rPr>
        <w:t xml:space="preserve">KS1 Time line. </w:t>
      </w:r>
    </w:p>
    <w:p w14:paraId="3D19F278" w14:textId="77777777" w:rsidR="00050096" w:rsidRPr="00A30DF2" w:rsidRDefault="00050096" w:rsidP="00050096">
      <w:pPr>
        <w:rPr>
          <w:rFonts w:ascii="NTFPreCursivefk" w:hAnsi="NTFPreCursivefk"/>
          <w:sz w:val="28"/>
          <w:szCs w:val="28"/>
        </w:rPr>
      </w:pPr>
      <w:r w:rsidRPr="00A30DF2">
        <w:rPr>
          <w:rFonts w:ascii="NTFPreCursivefk" w:hAnsi="NTFPreCursivefk"/>
          <w:noProof/>
          <w:lang w:eastAsia="en-GB"/>
        </w:rPr>
        <w:drawing>
          <wp:inline distT="0" distB="0" distL="0" distR="0" wp14:anchorId="0424D106" wp14:editId="137387DB">
            <wp:extent cx="5731510" cy="8477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64942"/>
                    <a:stretch/>
                  </pic:blipFill>
                  <pic:spPr bwMode="auto">
                    <a:xfrm>
                      <a:off x="0" y="0"/>
                      <a:ext cx="573151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77C188" w14:textId="77777777" w:rsidR="00050096" w:rsidRPr="00A30DF2" w:rsidRDefault="00050096" w:rsidP="00050096">
      <w:pPr>
        <w:rPr>
          <w:rFonts w:ascii="NTFPreCursivefk" w:hAnsi="NTFPreCursivefk"/>
          <w:sz w:val="28"/>
          <w:szCs w:val="28"/>
        </w:rPr>
      </w:pPr>
    </w:p>
    <w:p w14:paraId="38485360" w14:textId="77777777" w:rsidR="00050096" w:rsidRPr="00A30DF2" w:rsidRDefault="00050096" w:rsidP="00050096">
      <w:pPr>
        <w:rPr>
          <w:rFonts w:ascii="NTFPreCursivefk" w:hAnsi="NTFPreCursivefk"/>
          <w:sz w:val="28"/>
          <w:szCs w:val="28"/>
        </w:rPr>
      </w:pPr>
      <w:r w:rsidRPr="00A30DF2">
        <w:rPr>
          <w:rFonts w:ascii="NTFPreCursivefk" w:hAnsi="NTFPreCursivefk"/>
          <w:sz w:val="28"/>
          <w:szCs w:val="28"/>
        </w:rPr>
        <w:t>By using this format, children can describe events based on the position and visually see where is lies in history.</w:t>
      </w:r>
      <w:r w:rsidRPr="00A30DF2">
        <w:rPr>
          <w:rFonts w:ascii="NTFPreCursivefk" w:hAnsi="NTFPreCursivefk"/>
          <w:sz w:val="28"/>
          <w:szCs w:val="28"/>
          <w:u w:val="single"/>
        </w:rPr>
        <w:t xml:space="preserve">  </w:t>
      </w:r>
      <w:r w:rsidRPr="00A30DF2">
        <w:rPr>
          <w:rFonts w:ascii="NTFPreCursivefk" w:hAnsi="NTFPreCursivefk"/>
          <w:sz w:val="28"/>
          <w:szCs w:val="28"/>
        </w:rPr>
        <w:t>Numbers can be used to show this but ensure the children have the place value understanding before stressing this point.</w:t>
      </w:r>
      <w:r w:rsidR="0070345F" w:rsidRPr="00A30DF2">
        <w:rPr>
          <w:rFonts w:ascii="NTFPreCursivefk" w:hAnsi="NTFPreCursivefk"/>
          <w:sz w:val="28"/>
          <w:szCs w:val="28"/>
        </w:rPr>
        <w:t xml:space="preserve"> Year 2 can start to add one hundred year markers to the timeline when ready. </w:t>
      </w:r>
    </w:p>
    <w:p w14:paraId="49B362F7" w14:textId="77777777" w:rsidR="00050096" w:rsidRPr="00A30DF2" w:rsidRDefault="00050096" w:rsidP="00050096">
      <w:pPr>
        <w:rPr>
          <w:rFonts w:ascii="NTFPreCursivefk" w:hAnsi="NTFPreCursivefk"/>
          <w:sz w:val="28"/>
          <w:szCs w:val="28"/>
        </w:rPr>
      </w:pPr>
    </w:p>
    <w:p w14:paraId="01E87673" w14:textId="77777777" w:rsidR="00050096" w:rsidRPr="00A30DF2" w:rsidRDefault="00050096" w:rsidP="00050096">
      <w:pPr>
        <w:rPr>
          <w:rFonts w:ascii="NTFPreCursivefk" w:hAnsi="NTFPreCursivefk"/>
          <w:sz w:val="32"/>
          <w:szCs w:val="28"/>
          <w:u w:val="single"/>
        </w:rPr>
      </w:pPr>
      <w:r w:rsidRPr="00A30DF2">
        <w:rPr>
          <w:rFonts w:ascii="NTFPreCursivefk" w:hAnsi="NTFPreCursivefk"/>
          <w:sz w:val="32"/>
          <w:szCs w:val="28"/>
          <w:u w:val="single"/>
        </w:rPr>
        <w:t>KS2 Timeline:</w:t>
      </w:r>
    </w:p>
    <w:p w14:paraId="4E14CFA6" w14:textId="77777777" w:rsidR="00050096" w:rsidRPr="00A30DF2" w:rsidRDefault="00050096">
      <w:pPr>
        <w:rPr>
          <w:rFonts w:ascii="NTFPreCursivefk" w:hAnsi="NTFPreCursivefk"/>
          <w:sz w:val="28"/>
          <w:szCs w:val="28"/>
          <w:u w:val="single"/>
        </w:rPr>
      </w:pPr>
      <w:r w:rsidRPr="00A30DF2">
        <w:rPr>
          <w:rFonts w:ascii="NTFPreCursivefk" w:hAnsi="NTFPreCursivefk"/>
          <w:noProof/>
          <w:lang w:eastAsia="en-GB"/>
        </w:rPr>
        <w:drawing>
          <wp:inline distT="0" distB="0" distL="0" distR="0" wp14:anchorId="7617B11F" wp14:editId="705F47EF">
            <wp:extent cx="5731510" cy="16217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F0427" w14:textId="77777777" w:rsidR="00050096" w:rsidRPr="00A30DF2" w:rsidRDefault="00050096" w:rsidP="00050096">
      <w:pPr>
        <w:jc w:val="right"/>
        <w:rPr>
          <w:rFonts w:ascii="NTFPreCursivefk" w:hAnsi="NTFPreCursivefk"/>
          <w:sz w:val="28"/>
          <w:szCs w:val="28"/>
          <w:u w:val="single"/>
        </w:rPr>
      </w:pPr>
      <w:r w:rsidRPr="00A30DF2">
        <w:rPr>
          <w:rFonts w:ascii="NTFPreCursivefk" w:hAnsi="NTFPreCursivefk"/>
          <w:noProof/>
          <w:lang w:eastAsia="en-GB"/>
        </w:rPr>
        <w:drawing>
          <wp:inline distT="0" distB="0" distL="0" distR="0" wp14:anchorId="09B27959" wp14:editId="7633F679">
            <wp:extent cx="762000" cy="70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F056A" w14:textId="77777777" w:rsidR="00050096" w:rsidRPr="00A30DF2" w:rsidRDefault="00050096" w:rsidP="00050096">
      <w:pPr>
        <w:pStyle w:val="Default"/>
        <w:rPr>
          <w:rFonts w:ascii="NTFPreCursivefk" w:hAnsi="NTFPreCursivefk"/>
        </w:rPr>
      </w:pPr>
    </w:p>
    <w:p w14:paraId="427F84A8" w14:textId="77777777" w:rsidR="00050096" w:rsidRPr="00A30DF2" w:rsidRDefault="00050096" w:rsidP="00050096">
      <w:pPr>
        <w:rPr>
          <w:rFonts w:ascii="NTFPreCursivefk" w:hAnsi="NTFPreCursivefk"/>
          <w:sz w:val="28"/>
          <w:szCs w:val="28"/>
        </w:rPr>
      </w:pPr>
      <w:r w:rsidRPr="00A30DF2">
        <w:rPr>
          <w:rFonts w:ascii="NTFPreCursivefk" w:hAnsi="NTFPreCursivefk"/>
          <w:sz w:val="28"/>
          <w:szCs w:val="28"/>
        </w:rPr>
        <w:t>This allows them to understand how British and World History occurred concurrently and, very often, were interlinked.</w:t>
      </w:r>
    </w:p>
    <w:p w14:paraId="3110F002" w14:textId="77777777" w:rsidR="00050096" w:rsidRPr="00A30DF2" w:rsidRDefault="00050096" w:rsidP="00050096">
      <w:pPr>
        <w:rPr>
          <w:rFonts w:ascii="NTFPreCursivefk" w:hAnsi="NTFPreCursivefk"/>
          <w:sz w:val="28"/>
          <w:szCs w:val="28"/>
        </w:rPr>
      </w:pPr>
    </w:p>
    <w:p w14:paraId="71D4416F" w14:textId="77777777" w:rsidR="00050096" w:rsidRPr="00A30DF2" w:rsidRDefault="00050096" w:rsidP="00050096">
      <w:pPr>
        <w:rPr>
          <w:rFonts w:ascii="NTFPreCursivefk" w:hAnsi="NTFPreCursivefk"/>
          <w:sz w:val="32"/>
          <w:szCs w:val="28"/>
          <w:u w:val="single"/>
        </w:rPr>
      </w:pPr>
      <w:r w:rsidRPr="00A30DF2">
        <w:rPr>
          <w:rFonts w:ascii="NTFPreCursivefk" w:hAnsi="NTFPreCursivefk"/>
          <w:sz w:val="32"/>
          <w:szCs w:val="28"/>
          <w:u w:val="single"/>
        </w:rPr>
        <w:t>Combining local, national and world history:</w:t>
      </w:r>
    </w:p>
    <w:p w14:paraId="76DF2ED1" w14:textId="77777777" w:rsidR="00050096" w:rsidRPr="00A30DF2" w:rsidRDefault="00050096" w:rsidP="00050096">
      <w:pPr>
        <w:rPr>
          <w:rFonts w:ascii="NTFPreCursivefk" w:hAnsi="NTFPreCursivefk"/>
          <w:sz w:val="32"/>
          <w:u w:val="single"/>
        </w:rPr>
      </w:pPr>
      <w:r w:rsidRPr="00A30DF2">
        <w:rPr>
          <w:rFonts w:ascii="NTFPreCursivefk" w:hAnsi="NTFPreCursivefk"/>
          <w:noProof/>
          <w:lang w:eastAsia="en-GB"/>
        </w:rPr>
        <w:lastRenderedPageBreak/>
        <w:drawing>
          <wp:inline distT="0" distB="0" distL="0" distR="0" wp14:anchorId="497D583D" wp14:editId="18ECC906">
            <wp:extent cx="4895850" cy="447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3EC8D" w14:textId="77777777" w:rsidR="00F67719" w:rsidRPr="00A30DF2" w:rsidRDefault="00F67719" w:rsidP="00050096">
      <w:pPr>
        <w:rPr>
          <w:rFonts w:ascii="NTFPreCursivefk" w:hAnsi="NTFPreCursivefk"/>
          <w:sz w:val="32"/>
          <w:u w:val="single"/>
        </w:rPr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5506"/>
        <w:gridCol w:w="5268"/>
      </w:tblGrid>
      <w:tr w:rsidR="00050096" w:rsidRPr="00A30DF2" w14:paraId="62F8F3F7" w14:textId="77777777" w:rsidTr="003372FD">
        <w:tc>
          <w:tcPr>
            <w:tcW w:w="10774" w:type="dxa"/>
            <w:gridSpan w:val="2"/>
            <w:shd w:val="clear" w:color="auto" w:fill="DEEAF6" w:themeFill="accent1" w:themeFillTint="33"/>
          </w:tcPr>
          <w:p w14:paraId="7666DB53" w14:textId="77777777" w:rsidR="00050096" w:rsidRPr="00A30DF2" w:rsidRDefault="00050096" w:rsidP="003372FD">
            <w:pPr>
              <w:jc w:val="center"/>
              <w:rPr>
                <w:rFonts w:ascii="NTFPreCursivefk" w:hAnsi="NTFPreCursivefk"/>
                <w:sz w:val="32"/>
                <w:u w:val="single"/>
              </w:rPr>
            </w:pPr>
            <w:r w:rsidRPr="00A30DF2">
              <w:rPr>
                <w:rFonts w:ascii="NTFPreCursivefk" w:hAnsi="NTFPreCursivefk"/>
                <w:sz w:val="32"/>
                <w:u w:val="single"/>
              </w:rPr>
              <w:t>Chronological Vocabulary</w:t>
            </w:r>
          </w:p>
        </w:tc>
      </w:tr>
      <w:tr w:rsidR="00050096" w:rsidRPr="00A30DF2" w14:paraId="01811B74" w14:textId="77777777" w:rsidTr="003372FD">
        <w:tc>
          <w:tcPr>
            <w:tcW w:w="5506" w:type="dxa"/>
            <w:shd w:val="clear" w:color="auto" w:fill="DEEAF6" w:themeFill="accent1" w:themeFillTint="33"/>
          </w:tcPr>
          <w:p w14:paraId="03B42B78" w14:textId="77777777" w:rsidR="00050096" w:rsidRPr="00A30DF2" w:rsidRDefault="00050096" w:rsidP="003372FD">
            <w:pPr>
              <w:jc w:val="center"/>
              <w:rPr>
                <w:rFonts w:ascii="NTFPreCursivefk" w:hAnsi="NTFPreCursivefk"/>
                <w:sz w:val="24"/>
                <w:u w:val="single"/>
              </w:rPr>
            </w:pPr>
            <w:r w:rsidRPr="00A30DF2">
              <w:rPr>
                <w:rFonts w:ascii="NTFPreCursivefk" w:hAnsi="NTFPreCursivefk"/>
                <w:sz w:val="24"/>
                <w:u w:val="single"/>
              </w:rPr>
              <w:t>KS1</w:t>
            </w:r>
          </w:p>
        </w:tc>
        <w:tc>
          <w:tcPr>
            <w:tcW w:w="5268" w:type="dxa"/>
            <w:shd w:val="clear" w:color="auto" w:fill="DEEAF6" w:themeFill="accent1" w:themeFillTint="33"/>
          </w:tcPr>
          <w:p w14:paraId="31F43AD0" w14:textId="77777777" w:rsidR="00050096" w:rsidRPr="00A30DF2" w:rsidRDefault="00050096" w:rsidP="003372FD">
            <w:pPr>
              <w:jc w:val="center"/>
              <w:rPr>
                <w:rFonts w:ascii="NTFPreCursivefk" w:hAnsi="NTFPreCursivefk"/>
                <w:sz w:val="24"/>
                <w:u w:val="single"/>
              </w:rPr>
            </w:pPr>
            <w:r w:rsidRPr="00A30DF2">
              <w:rPr>
                <w:rFonts w:ascii="NTFPreCursivefk" w:hAnsi="NTFPreCursivefk"/>
                <w:sz w:val="24"/>
                <w:u w:val="single"/>
              </w:rPr>
              <w:t>KS2</w:t>
            </w:r>
          </w:p>
        </w:tc>
      </w:tr>
      <w:tr w:rsidR="00050096" w:rsidRPr="00A30DF2" w14:paraId="777AB3F0" w14:textId="77777777" w:rsidTr="003372FD">
        <w:tc>
          <w:tcPr>
            <w:tcW w:w="5506" w:type="dxa"/>
          </w:tcPr>
          <w:p w14:paraId="5106D51B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Yesterday </w:t>
            </w:r>
          </w:p>
          <w:p w14:paraId="0E2A4DD8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A week ago </w:t>
            </w:r>
          </w:p>
          <w:p w14:paraId="07F91F07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Last month </w:t>
            </w:r>
          </w:p>
          <w:p w14:paraId="7B2814EC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Then </w:t>
            </w:r>
          </w:p>
          <w:p w14:paraId="4BB7A994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Next </w:t>
            </w:r>
          </w:p>
          <w:p w14:paraId="5FF178BE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After </w:t>
            </w:r>
          </w:p>
          <w:p w14:paraId="4DB1F307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Before </w:t>
            </w:r>
          </w:p>
          <w:p w14:paraId="3EC543DC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Past </w:t>
            </w:r>
          </w:p>
          <w:p w14:paraId="30C9337A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Present </w:t>
            </w:r>
          </w:p>
          <w:p w14:paraId="31C8A005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Living memory and (Beyond living memory) </w:t>
            </w:r>
          </w:p>
          <w:p w14:paraId="78AFAB57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Recent memory </w:t>
            </w:r>
          </w:p>
          <w:p w14:paraId="064D2C68" w14:textId="77777777" w:rsidR="00050096" w:rsidRPr="00A30DF2" w:rsidRDefault="003372FD" w:rsidP="003372FD">
            <w:pPr>
              <w:rPr>
                <w:rFonts w:ascii="NTFPreCursivefk" w:hAnsi="NTFPreCursivefk"/>
                <w:sz w:val="24"/>
                <w:szCs w:val="24"/>
              </w:rPr>
            </w:pPr>
            <w:r w:rsidRPr="00A30DF2">
              <w:rPr>
                <w:rFonts w:ascii="NTFPreCursivefk" w:hAnsi="NTFPreCursivefk"/>
                <w:sz w:val="24"/>
                <w:szCs w:val="24"/>
              </w:rPr>
              <w:t xml:space="preserve">Further in the past </w:t>
            </w:r>
          </w:p>
          <w:p w14:paraId="59AD58BD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Day </w:t>
            </w:r>
          </w:p>
          <w:p w14:paraId="6A322505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Week </w:t>
            </w:r>
          </w:p>
          <w:p w14:paraId="20C33345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Month </w:t>
            </w:r>
          </w:p>
          <w:p w14:paraId="7B929A9B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Year </w:t>
            </w:r>
          </w:p>
          <w:p w14:paraId="42422385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Decade </w:t>
            </w:r>
          </w:p>
          <w:p w14:paraId="7E597EDA" w14:textId="77777777" w:rsidR="003372FD" w:rsidRPr="00A30DF2" w:rsidRDefault="003372FD" w:rsidP="003372FD">
            <w:pPr>
              <w:rPr>
                <w:rFonts w:ascii="NTFPreCursivefk" w:hAnsi="NTFPreCursivefk"/>
                <w:sz w:val="24"/>
                <w:szCs w:val="24"/>
                <w:u w:val="single"/>
              </w:rPr>
            </w:pPr>
            <w:r w:rsidRPr="00A30DF2">
              <w:rPr>
                <w:rFonts w:ascii="NTFPreCursivefk" w:hAnsi="NTFPreCursivefk"/>
                <w:sz w:val="24"/>
                <w:szCs w:val="24"/>
              </w:rPr>
              <w:t xml:space="preserve">Century* </w:t>
            </w:r>
          </w:p>
        </w:tc>
        <w:tc>
          <w:tcPr>
            <w:tcW w:w="5268" w:type="dxa"/>
          </w:tcPr>
          <w:p w14:paraId="4A6473B8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Period of history </w:t>
            </w:r>
          </w:p>
          <w:p w14:paraId="0AB843DF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Duration* </w:t>
            </w:r>
          </w:p>
          <w:p w14:paraId="5A10764F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Scale * </w:t>
            </w:r>
          </w:p>
          <w:p w14:paraId="4497ACA9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Interval* </w:t>
            </w:r>
          </w:p>
          <w:p w14:paraId="09C7A1D2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AD/CE </w:t>
            </w:r>
          </w:p>
          <w:p w14:paraId="4A97A146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BC/BCE </w:t>
            </w:r>
          </w:p>
          <w:p w14:paraId="3612C5CF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Century </w:t>
            </w:r>
          </w:p>
          <w:p w14:paraId="093B65B4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Millenia </w:t>
            </w:r>
          </w:p>
          <w:p w14:paraId="46B95327" w14:textId="77777777" w:rsidR="00050096" w:rsidRPr="00A30DF2" w:rsidRDefault="003372FD" w:rsidP="003372FD">
            <w:pPr>
              <w:rPr>
                <w:rFonts w:ascii="NTFPreCursivefk" w:hAnsi="NTFPreCursivefk"/>
                <w:sz w:val="24"/>
                <w:szCs w:val="24"/>
              </w:rPr>
            </w:pPr>
            <w:r w:rsidRPr="00A30DF2">
              <w:rPr>
                <w:rFonts w:ascii="NTFPreCursivefk" w:hAnsi="NTFPreCursivefk"/>
                <w:sz w:val="24"/>
                <w:szCs w:val="24"/>
              </w:rPr>
              <w:t xml:space="preserve">Millennium </w:t>
            </w:r>
          </w:p>
          <w:p w14:paraId="4EB7D1D0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</w:rPr>
            </w:pPr>
            <w:r w:rsidRPr="00A30DF2">
              <w:rPr>
                <w:rFonts w:ascii="NTFPreCursivefk" w:hAnsi="NTFPreCursivefk"/>
              </w:rPr>
              <w:t xml:space="preserve">Concurrence </w:t>
            </w:r>
          </w:p>
          <w:p w14:paraId="7CF8FFCF" w14:textId="77777777" w:rsidR="003372FD" w:rsidRPr="00A30DF2" w:rsidRDefault="003372FD" w:rsidP="003372FD">
            <w:pPr>
              <w:rPr>
                <w:rFonts w:ascii="NTFPreCursivefk" w:hAnsi="NTFPreCursivefk"/>
                <w:sz w:val="24"/>
                <w:szCs w:val="24"/>
                <w:u w:val="single"/>
              </w:rPr>
            </w:pPr>
            <w:r w:rsidRPr="00A30DF2">
              <w:rPr>
                <w:rFonts w:ascii="NTFPreCursivefk" w:hAnsi="NTFPreCursivefk"/>
                <w:sz w:val="24"/>
                <w:szCs w:val="24"/>
              </w:rPr>
              <w:t xml:space="preserve">Meanwhile </w:t>
            </w:r>
          </w:p>
        </w:tc>
      </w:tr>
      <w:tr w:rsidR="003372FD" w:rsidRPr="00A30DF2" w14:paraId="5BED84B4" w14:textId="77777777" w:rsidTr="003372FD">
        <w:tc>
          <w:tcPr>
            <w:tcW w:w="5506" w:type="dxa"/>
          </w:tcPr>
          <w:p w14:paraId="3955F540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  <w:sz w:val="22"/>
                <w:szCs w:val="22"/>
              </w:rPr>
            </w:pPr>
            <w:r w:rsidRPr="00A30DF2">
              <w:rPr>
                <w:rFonts w:ascii="NTFPreCursivefk" w:hAnsi="NTFPreCursivefk"/>
                <w:sz w:val="22"/>
                <w:szCs w:val="22"/>
              </w:rPr>
              <w:lastRenderedPageBreak/>
              <w:t xml:space="preserve">*During year 2, you may choose to introduce the </w:t>
            </w:r>
            <w:proofErr w:type="spellStart"/>
            <w:r w:rsidRPr="00A30DF2">
              <w:rPr>
                <w:rFonts w:ascii="NTFPreCursivefk" w:hAnsi="NTFPreCursivefk"/>
                <w:sz w:val="22"/>
                <w:szCs w:val="22"/>
              </w:rPr>
              <w:t>chil-dren</w:t>
            </w:r>
            <w:proofErr w:type="spellEnd"/>
            <w:r w:rsidRPr="00A30DF2">
              <w:rPr>
                <w:rFonts w:ascii="NTFPreCursivefk" w:hAnsi="NTFPreCursivefk"/>
                <w:sz w:val="22"/>
                <w:szCs w:val="22"/>
              </w:rPr>
              <w:t xml:space="preserve"> to a century if their understanding of place value is sufficient that they can identify the link a century with the concept of 100. </w:t>
            </w:r>
          </w:p>
          <w:p w14:paraId="31AE63DB" w14:textId="77777777" w:rsidR="003372FD" w:rsidRPr="00A30DF2" w:rsidRDefault="003372FD" w:rsidP="003372FD">
            <w:pPr>
              <w:pStyle w:val="Default"/>
              <w:rPr>
                <w:rFonts w:ascii="NTFPreCursivefk" w:hAnsi="NTFPreCursivefk"/>
                <w:sz w:val="22"/>
                <w:szCs w:val="22"/>
              </w:rPr>
            </w:pPr>
          </w:p>
        </w:tc>
        <w:tc>
          <w:tcPr>
            <w:tcW w:w="5268" w:type="dxa"/>
          </w:tcPr>
          <w:p w14:paraId="0A39869A" w14:textId="77777777" w:rsidR="003372FD" w:rsidRPr="00A30DF2" w:rsidRDefault="003372FD" w:rsidP="003372FD">
            <w:pPr>
              <w:rPr>
                <w:rFonts w:ascii="NTFPreCursivefk" w:hAnsi="NTFPreCursivefk"/>
                <w:u w:val="single"/>
              </w:rPr>
            </w:pPr>
            <w:r w:rsidRPr="00A30DF2">
              <w:rPr>
                <w:rFonts w:ascii="NTFPreCursivefk" w:hAnsi="NTFPreCursivefk"/>
              </w:rPr>
              <w:t>* these terms will have been encountered in KS1 but should be more actively taught in relation to the periods of history studied.</w:t>
            </w:r>
          </w:p>
        </w:tc>
      </w:tr>
    </w:tbl>
    <w:p w14:paraId="4208E786" w14:textId="77777777" w:rsidR="00050096" w:rsidRPr="00A30DF2" w:rsidRDefault="003372FD">
      <w:pPr>
        <w:rPr>
          <w:rFonts w:ascii="NTFPreCursivefk" w:hAnsi="NTFPreCursivefk"/>
          <w:sz w:val="32"/>
          <w:u w:val="single"/>
        </w:rPr>
      </w:pPr>
      <w:r w:rsidRPr="00A30DF2">
        <w:rPr>
          <w:rFonts w:ascii="NTFPreCursivefk" w:hAnsi="NTFPreCursivefk"/>
          <w:sz w:val="32"/>
          <w:u w:val="single"/>
        </w:rPr>
        <w:t>Key elements of Chronology:</w:t>
      </w:r>
    </w:p>
    <w:p w14:paraId="6AA6DC5D" w14:textId="77777777" w:rsidR="003372FD" w:rsidRPr="00A30DF2" w:rsidRDefault="003372FD">
      <w:pPr>
        <w:rPr>
          <w:rFonts w:ascii="NTFPreCursivefk" w:hAnsi="NTFPreCursivefk"/>
          <w:sz w:val="32"/>
          <w:u w:val="single"/>
        </w:rPr>
      </w:pPr>
      <w:r w:rsidRPr="00A30DF2">
        <w:rPr>
          <w:rFonts w:ascii="NTFPreCursivefk" w:hAnsi="NTFPreCursivefk"/>
          <w:noProof/>
          <w:lang w:eastAsia="en-GB"/>
        </w:rPr>
        <w:drawing>
          <wp:inline distT="0" distB="0" distL="0" distR="0" wp14:anchorId="4F5BDF53" wp14:editId="3784CED8">
            <wp:extent cx="4972050" cy="4972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0D014" w14:textId="77777777" w:rsidR="003372FD" w:rsidRPr="00A30DF2" w:rsidRDefault="003372FD">
      <w:pPr>
        <w:rPr>
          <w:rFonts w:ascii="NTFPreCursivefk" w:hAnsi="NTFPreCursivefk"/>
          <w:sz w:val="32"/>
          <w:u w:val="single"/>
        </w:rPr>
      </w:pPr>
      <w:r w:rsidRPr="00A30DF2">
        <w:rPr>
          <w:rFonts w:ascii="NTFPreCursivefk" w:hAnsi="NTFPreCursivefk"/>
          <w:sz w:val="32"/>
          <w:u w:val="single"/>
        </w:rPr>
        <w:t>Progression through school:</w:t>
      </w:r>
    </w:p>
    <w:p w14:paraId="031B3F26" w14:textId="77777777" w:rsidR="003372FD" w:rsidRPr="00A30DF2" w:rsidRDefault="003372FD">
      <w:pPr>
        <w:rPr>
          <w:rFonts w:ascii="NTFPreCursivefk" w:hAnsi="NTFPreCursivefk"/>
          <w:sz w:val="32"/>
          <w:u w:val="single"/>
        </w:rPr>
      </w:pPr>
      <w:r w:rsidRPr="00A30DF2">
        <w:rPr>
          <w:rFonts w:ascii="NTFPreCursivefk" w:hAnsi="NTFPreCursivefk"/>
          <w:noProof/>
          <w:lang w:eastAsia="en-GB"/>
        </w:rPr>
        <w:lastRenderedPageBreak/>
        <w:drawing>
          <wp:inline distT="0" distB="0" distL="0" distR="0" wp14:anchorId="745031E0" wp14:editId="5FC5645A">
            <wp:extent cx="4933950" cy="5267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24AE7" w14:textId="77777777" w:rsidR="00050096" w:rsidRPr="00A30DF2" w:rsidRDefault="00995B4B">
      <w:pPr>
        <w:rPr>
          <w:rFonts w:ascii="NTFPreCursivefk" w:hAnsi="NTFPreCursivefk"/>
          <w:sz w:val="32"/>
          <w:u w:val="single"/>
        </w:rPr>
      </w:pPr>
      <w:r w:rsidRPr="00A30DF2">
        <w:rPr>
          <w:rFonts w:ascii="NTFPreCursivefk" w:hAnsi="NTFPreCursivefk"/>
          <w:sz w:val="32"/>
          <w:u w:val="single"/>
        </w:rPr>
        <w:t>Resources:</w:t>
      </w:r>
    </w:p>
    <w:p w14:paraId="3B105F4E" w14:textId="77777777" w:rsidR="00995B4B" w:rsidRPr="00A30DF2" w:rsidRDefault="00995B4B" w:rsidP="00995B4B">
      <w:pPr>
        <w:pStyle w:val="Default"/>
        <w:rPr>
          <w:rFonts w:ascii="NTFPreCursivefk" w:hAnsi="NTFPreCursivefk"/>
        </w:rPr>
      </w:pPr>
    </w:p>
    <w:p w14:paraId="7E250694" w14:textId="77777777" w:rsidR="00995B4B" w:rsidRPr="00A30DF2" w:rsidRDefault="00995B4B" w:rsidP="00995B4B">
      <w:pPr>
        <w:pStyle w:val="Default"/>
        <w:rPr>
          <w:rFonts w:ascii="NTFPreCursivefk" w:hAnsi="NTFPreCursivefk"/>
          <w:sz w:val="28"/>
          <w:szCs w:val="28"/>
        </w:rPr>
      </w:pPr>
      <w:proofErr w:type="spellStart"/>
      <w:r w:rsidRPr="00A30DF2">
        <w:rPr>
          <w:rFonts w:ascii="NTFPreCursivefk" w:hAnsi="NTFPreCursivefk"/>
          <w:sz w:val="28"/>
          <w:szCs w:val="28"/>
        </w:rPr>
        <w:t>Timemaps</w:t>
      </w:r>
      <w:proofErr w:type="spellEnd"/>
      <w:r w:rsidRPr="00A30DF2">
        <w:rPr>
          <w:rFonts w:ascii="NTFPreCursivefk" w:hAnsi="NTFPreCursivefk"/>
          <w:sz w:val="28"/>
          <w:szCs w:val="28"/>
        </w:rPr>
        <w:t xml:space="preserve"> is amazing to help children understand both chronology as a concept but also how the human landscape of regions of Earth changed over time. It also contains scaled timelines underneath the main map. </w:t>
      </w:r>
    </w:p>
    <w:p w14:paraId="6D7A5466" w14:textId="77777777" w:rsidR="00995B4B" w:rsidRPr="00A30DF2" w:rsidRDefault="00995B4B" w:rsidP="00995B4B">
      <w:pPr>
        <w:pStyle w:val="Default"/>
        <w:rPr>
          <w:rFonts w:ascii="NTFPreCursivefk" w:hAnsi="NTFPreCursivefk"/>
          <w:sz w:val="28"/>
          <w:szCs w:val="28"/>
        </w:rPr>
      </w:pPr>
    </w:p>
    <w:p w14:paraId="0904B7FB" w14:textId="77777777" w:rsidR="00995B4B" w:rsidRPr="00A30DF2" w:rsidRDefault="00995B4B" w:rsidP="00995B4B">
      <w:pPr>
        <w:pStyle w:val="Default"/>
        <w:rPr>
          <w:rFonts w:ascii="NTFPreCursivefk" w:hAnsi="NTFPreCursivefk"/>
          <w:sz w:val="28"/>
          <w:szCs w:val="28"/>
        </w:rPr>
      </w:pPr>
      <w:proofErr w:type="spellStart"/>
      <w:r w:rsidRPr="00A30DF2">
        <w:rPr>
          <w:rFonts w:ascii="NTFPreCursivefk" w:hAnsi="NTFPreCursivefk"/>
          <w:sz w:val="28"/>
          <w:szCs w:val="28"/>
        </w:rPr>
        <w:t>Chronozoom</w:t>
      </w:r>
      <w:proofErr w:type="spellEnd"/>
      <w:r w:rsidRPr="00A30DF2">
        <w:rPr>
          <w:rFonts w:ascii="NTFPreCursivefk" w:hAnsi="NTFPreCursivefk"/>
          <w:sz w:val="28"/>
          <w:szCs w:val="28"/>
        </w:rPr>
        <w:t xml:space="preserve"> is a great way to help children understand the concept of duration in a clear and visual way. It is simple coloured rectangles that adjust in size with a clear scale. </w:t>
      </w:r>
    </w:p>
    <w:p w14:paraId="1512D374" w14:textId="77777777" w:rsidR="00995B4B" w:rsidRPr="00A30DF2" w:rsidRDefault="00995B4B" w:rsidP="00995B4B">
      <w:pPr>
        <w:pStyle w:val="Default"/>
        <w:rPr>
          <w:rFonts w:ascii="NTFPreCursivefk" w:hAnsi="NTFPreCursivefk"/>
          <w:sz w:val="28"/>
          <w:szCs w:val="28"/>
        </w:rPr>
      </w:pPr>
    </w:p>
    <w:p w14:paraId="0E46D69F" w14:textId="77777777" w:rsidR="00995B4B" w:rsidRPr="00A30DF2" w:rsidRDefault="00995B4B" w:rsidP="00995B4B">
      <w:pPr>
        <w:rPr>
          <w:rFonts w:ascii="NTFPreCursivefk" w:hAnsi="NTFPreCursivefk"/>
        </w:rPr>
      </w:pPr>
      <w:r w:rsidRPr="00A30DF2">
        <w:rPr>
          <w:rFonts w:ascii="NTFPreCursivefk" w:hAnsi="NTFPreCursivefk"/>
          <w:sz w:val="28"/>
          <w:szCs w:val="28"/>
        </w:rPr>
        <w:t>Meanwhile Elsewhere is a great blog to understand concurrence; initially intended for Ks3 and above, it does contain KS2 resources</w:t>
      </w:r>
    </w:p>
    <w:sectPr w:rsidR="00995B4B" w:rsidRPr="00A30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96"/>
    <w:rsid w:val="00050096"/>
    <w:rsid w:val="001506AA"/>
    <w:rsid w:val="003372FD"/>
    <w:rsid w:val="005D460A"/>
    <w:rsid w:val="006E0480"/>
    <w:rsid w:val="0070345F"/>
    <w:rsid w:val="00995B4B"/>
    <w:rsid w:val="00A30DF2"/>
    <w:rsid w:val="00F6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AB14"/>
  <w15:chartTrackingRefBased/>
  <w15:docId w15:val="{C0E7CFD1-CAD0-406E-B94F-B3432E4D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09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5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E1682DFD91744AC50521B717831B5" ma:contentTypeVersion="12" ma:contentTypeDescription="Create a new document." ma:contentTypeScope="" ma:versionID="eacb09cd0f0d3a758b04d0bb9313ab53">
  <xsd:schema xmlns:xsd="http://www.w3.org/2001/XMLSchema" xmlns:xs="http://www.w3.org/2001/XMLSchema" xmlns:p="http://schemas.microsoft.com/office/2006/metadata/properties" xmlns:ns2="2156a244-2092-4314-ae52-4406622b81b3" xmlns:ns3="973f8b41-218c-4d0e-adb2-970a672a52e2" targetNamespace="http://schemas.microsoft.com/office/2006/metadata/properties" ma:root="true" ma:fieldsID="05ad8df9f582c4f647afec13e71355e9" ns2:_="" ns3:_="">
    <xsd:import namespace="2156a244-2092-4314-ae52-4406622b81b3"/>
    <xsd:import namespace="973f8b41-218c-4d0e-adb2-970a672a5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a244-2092-4314-ae52-4406622b8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f8b41-218c-4d0e-adb2-970a672a5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A8675-F7BA-44FF-9653-F5489684FD4B}"/>
</file>

<file path=customXml/itemProps2.xml><?xml version="1.0" encoding="utf-8"?>
<ds:datastoreItem xmlns:ds="http://schemas.openxmlformats.org/officeDocument/2006/customXml" ds:itemID="{B209618B-8F43-46A5-A3DF-BF14F78964D3}"/>
</file>

<file path=customXml/itemProps3.xml><?xml version="1.0" encoding="utf-8"?>
<ds:datastoreItem xmlns:ds="http://schemas.openxmlformats.org/officeDocument/2006/customXml" ds:itemID="{751053E2-B348-4A2F-9CD0-E40CBF825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4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Towngate Academy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Johnstone</dc:creator>
  <cp:keywords/>
  <dc:description/>
  <cp:lastModifiedBy>Lauren Wolstenholme</cp:lastModifiedBy>
  <cp:revision>5</cp:revision>
  <dcterms:created xsi:type="dcterms:W3CDTF">2020-03-25T11:04:00Z</dcterms:created>
  <dcterms:modified xsi:type="dcterms:W3CDTF">2021-03-06T16:30:00Z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0x01010089EE1682DFD91744AC50521B717831B5</vt:lpwstr>
  </property>
</Properties>
</file>